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jc w:val="center"/>
        <w:rPr>
          <w:rFonts w:ascii="Times New Roman" w:hAnsi="Times New Roman" w:cs="Times New Roman"/>
          <w:sz w:val="24"/>
          <w:szCs w:val="24"/>
        </w:rPr>
      </w:pPr>
      <w:r w:rsidRPr="00DE6C81">
        <w:rPr>
          <w:rFonts w:ascii="Times New Roman" w:hAnsi="Times New Roman" w:cs="Times New Roman"/>
          <w:sz w:val="24"/>
          <w:szCs w:val="24"/>
        </w:rPr>
        <w:t>Improvement Plan Tool Kit</w:t>
      </w:r>
    </w:p>
    <w:p w:rsidR="00DE6C81" w:rsidRPr="00DE6C81" w:rsidRDefault="00DE6C81" w:rsidP="00DE6C81">
      <w:pPr>
        <w:spacing w:line="480" w:lineRule="auto"/>
        <w:jc w:val="center"/>
        <w:rPr>
          <w:rFonts w:ascii="Times New Roman" w:hAnsi="Times New Roman" w:cs="Times New Roman"/>
          <w:sz w:val="24"/>
          <w:szCs w:val="24"/>
        </w:rPr>
      </w:pPr>
      <w:r w:rsidRPr="00DE6C81">
        <w:rPr>
          <w:rFonts w:ascii="Times New Roman" w:hAnsi="Times New Roman" w:cs="Times New Roman"/>
          <w:sz w:val="24"/>
          <w:szCs w:val="24"/>
        </w:rPr>
        <w:t>Name</w:t>
      </w:r>
    </w:p>
    <w:p w:rsidR="00DE6C81" w:rsidRPr="00DE6C81" w:rsidRDefault="00DE6C81" w:rsidP="00DE6C81">
      <w:pPr>
        <w:spacing w:line="480" w:lineRule="auto"/>
        <w:jc w:val="center"/>
        <w:rPr>
          <w:rFonts w:ascii="Times New Roman" w:hAnsi="Times New Roman" w:cs="Times New Roman"/>
          <w:sz w:val="24"/>
          <w:szCs w:val="24"/>
        </w:rPr>
      </w:pPr>
      <w:r w:rsidRPr="00DE6C81">
        <w:rPr>
          <w:rFonts w:ascii="Times New Roman" w:hAnsi="Times New Roman" w:cs="Times New Roman"/>
          <w:sz w:val="24"/>
          <w:szCs w:val="24"/>
        </w:rPr>
        <w:t>Institution</w:t>
      </w:r>
    </w:p>
    <w:p w:rsidR="00DE6C81" w:rsidRPr="00DE6C81" w:rsidRDefault="00DE6C81" w:rsidP="00DE6C81">
      <w:pPr>
        <w:spacing w:line="480" w:lineRule="auto"/>
        <w:jc w:val="center"/>
        <w:rPr>
          <w:rFonts w:ascii="Times New Roman" w:hAnsi="Times New Roman" w:cs="Times New Roman"/>
          <w:sz w:val="24"/>
          <w:szCs w:val="24"/>
        </w:rPr>
      </w:pPr>
      <w:r w:rsidRPr="00DE6C81">
        <w:rPr>
          <w:rFonts w:ascii="Times New Roman" w:hAnsi="Times New Roman" w:cs="Times New Roman"/>
          <w:sz w:val="24"/>
          <w:szCs w:val="24"/>
        </w:rPr>
        <w:t>Date</w:t>
      </w: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Pr="00DE6C81" w:rsidRDefault="00DE6C81" w:rsidP="00DE6C81">
      <w:pPr>
        <w:spacing w:line="480" w:lineRule="auto"/>
        <w:rPr>
          <w:rFonts w:ascii="Times New Roman" w:hAnsi="Times New Roman" w:cs="Times New Roman"/>
          <w:sz w:val="24"/>
          <w:szCs w:val="24"/>
        </w:rPr>
      </w:pPr>
    </w:p>
    <w:p w:rsidR="00DE6C81" w:rsidRDefault="00DE6C81" w:rsidP="00DE6C81">
      <w:pPr>
        <w:spacing w:line="480" w:lineRule="auto"/>
        <w:rPr>
          <w:rFonts w:ascii="Times New Roman" w:hAnsi="Times New Roman" w:cs="Times New Roman"/>
          <w:sz w:val="24"/>
          <w:szCs w:val="24"/>
        </w:rPr>
      </w:pPr>
    </w:p>
    <w:p w:rsidR="00DE6C81" w:rsidRDefault="00DE6C81" w:rsidP="00DE6C81">
      <w:pPr>
        <w:spacing w:line="480" w:lineRule="auto"/>
        <w:rPr>
          <w:rFonts w:ascii="Times New Roman" w:hAnsi="Times New Roman" w:cs="Times New Roman"/>
          <w:sz w:val="24"/>
          <w:szCs w:val="24"/>
        </w:rPr>
      </w:pPr>
    </w:p>
    <w:p w:rsidR="00DE6C81" w:rsidRDefault="00DE6C81" w:rsidP="00DE6C81">
      <w:pPr>
        <w:spacing w:line="480" w:lineRule="auto"/>
        <w:rPr>
          <w:rFonts w:ascii="Times New Roman" w:hAnsi="Times New Roman" w:cs="Times New Roman"/>
          <w:sz w:val="24"/>
          <w:szCs w:val="24"/>
        </w:rPr>
      </w:pPr>
    </w:p>
    <w:p w:rsidR="00DC6778" w:rsidRPr="00BB1338" w:rsidRDefault="00DC6778" w:rsidP="00DE6C81">
      <w:pPr>
        <w:spacing w:line="480" w:lineRule="auto"/>
        <w:jc w:val="center"/>
        <w:rPr>
          <w:rFonts w:ascii="Times New Roman" w:hAnsi="Times New Roman" w:cs="Times New Roman"/>
          <w:sz w:val="24"/>
          <w:szCs w:val="24"/>
        </w:rPr>
      </w:pPr>
      <w:r w:rsidRPr="00BB1338">
        <w:rPr>
          <w:rFonts w:ascii="Times New Roman" w:hAnsi="Times New Roman" w:cs="Times New Roman"/>
          <w:sz w:val="24"/>
          <w:szCs w:val="24"/>
        </w:rPr>
        <w:lastRenderedPageBreak/>
        <w:t>Improvement Plan Tool Kit</w:t>
      </w:r>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Patient falls are among the most prevalent geriatric syndromes that affect the geriatric population. Falls amongst geriatric patients are associated with factors like weakness of body muscles, vision impairments, depression or a previous history of fall</w:t>
      </w:r>
      <w:r w:rsidR="00E67A8A" w:rsidRPr="00DE6C81">
        <w:rPr>
          <w:rFonts w:ascii="Times New Roman" w:hAnsi="Times New Roman" w:cs="Times New Roman"/>
          <w:sz w:val="24"/>
          <w:szCs w:val="24"/>
        </w:rPr>
        <w:t>s. Therefore, this improvement plan tool k</w:t>
      </w:r>
      <w:r w:rsidRPr="00DE6C81">
        <w:rPr>
          <w:rFonts w:ascii="Times New Roman" w:hAnsi="Times New Roman" w:cs="Times New Roman"/>
          <w:sz w:val="24"/>
          <w:szCs w:val="24"/>
        </w:rPr>
        <w:t xml:space="preserve">it will help nurses implement and sustain safety improvement measures to prevent patient falls for the geriatric population and ultimately improve the quality of care for this population. The improvement plan tool kit has been organized into four categories, with three annotated sources for each category. The categories include organizational, staff-based, environmental and reporting safety and prevention strategies. </w:t>
      </w:r>
    </w:p>
    <w:p w:rsidR="00DC6778" w:rsidRPr="00DE6C81" w:rsidRDefault="00DC6778" w:rsidP="00DE6C81">
      <w:pPr>
        <w:spacing w:line="480" w:lineRule="auto"/>
        <w:jc w:val="center"/>
        <w:rPr>
          <w:rFonts w:ascii="Times New Roman" w:hAnsi="Times New Roman" w:cs="Times New Roman"/>
          <w:b/>
          <w:sz w:val="24"/>
          <w:szCs w:val="24"/>
        </w:rPr>
      </w:pPr>
      <w:r w:rsidRPr="00DE6C81">
        <w:rPr>
          <w:rFonts w:ascii="Times New Roman" w:hAnsi="Times New Roman" w:cs="Times New Roman"/>
          <w:b/>
          <w:sz w:val="24"/>
          <w:szCs w:val="24"/>
        </w:rPr>
        <w:t>Annotated Bibliography</w:t>
      </w:r>
    </w:p>
    <w:p w:rsidR="00DC6778" w:rsidRPr="00DE6C81" w:rsidRDefault="00DC6778" w:rsidP="00DE6C81">
      <w:pPr>
        <w:spacing w:line="480" w:lineRule="auto"/>
        <w:jc w:val="center"/>
        <w:rPr>
          <w:rFonts w:ascii="Times New Roman" w:hAnsi="Times New Roman" w:cs="Times New Roman"/>
          <w:b/>
          <w:sz w:val="24"/>
          <w:szCs w:val="24"/>
        </w:rPr>
      </w:pPr>
      <w:r w:rsidRPr="00DE6C81">
        <w:rPr>
          <w:rFonts w:ascii="Times New Roman" w:hAnsi="Times New Roman" w:cs="Times New Roman"/>
          <w:b/>
          <w:sz w:val="24"/>
          <w:szCs w:val="24"/>
        </w:rPr>
        <w:t>Organizational Safety and Prevention Strategies</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France, D., Slayton, J., Moore, S., Domenico, H., Matthews, J., Steaban, R. L., &amp; Choma, N. (2017). A multicomponent fall prevention strategy reduces falls at an academic medical center. The Joint Commission Journal on Quality and Patient Safety, 43(9), 460-470. Retrieved from </w:t>
      </w:r>
      <w:hyperlink r:id="rId7" w:history="1">
        <w:r w:rsidR="00DE6C81" w:rsidRPr="00DE6C81">
          <w:rPr>
            <w:rStyle w:val="Hyperlink"/>
            <w:rFonts w:ascii="Times New Roman" w:hAnsi="Times New Roman" w:cs="Times New Roman"/>
            <w:sz w:val="24"/>
            <w:szCs w:val="24"/>
          </w:rPr>
          <w:t>https://www.sciencedirect.com/science/article/abs/pii/S1553725016300319</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The authors of this article present a quality improvement-based multicomponent strategy that organizations can implement to prevent or reduce patient falls for the geriatric population. The article demonstrates a quality improvement strategy that has been tested and verified and found effective in reducing falls among the geriatric population, thus improving the quality of healthcare for this population. The pilot test for the safety strategy was conducted in various critical units like the stem cell transplant </w:t>
      </w:r>
      <w:r w:rsidR="00E67A8A" w:rsidRPr="00DE6C81">
        <w:rPr>
          <w:rFonts w:ascii="Times New Roman" w:hAnsi="Times New Roman" w:cs="Times New Roman"/>
          <w:sz w:val="24"/>
          <w:szCs w:val="24"/>
        </w:rPr>
        <w:t>unit;</w:t>
      </w:r>
      <w:r w:rsidRPr="00DE6C81">
        <w:rPr>
          <w:rFonts w:ascii="Times New Roman" w:hAnsi="Times New Roman" w:cs="Times New Roman"/>
          <w:sz w:val="24"/>
          <w:szCs w:val="24"/>
        </w:rPr>
        <w:t xml:space="preserve"> acute care unit for the geriatric patients and in </w:t>
      </w:r>
      <w:r w:rsidRPr="00DE6C81">
        <w:rPr>
          <w:rFonts w:ascii="Times New Roman" w:hAnsi="Times New Roman" w:cs="Times New Roman"/>
          <w:sz w:val="24"/>
          <w:szCs w:val="24"/>
        </w:rPr>
        <w:lastRenderedPageBreak/>
        <w:t>neuroscience, acute care unit,</w:t>
      </w:r>
      <w:r w:rsidR="00E67A8A" w:rsidRPr="00DE6C81">
        <w:rPr>
          <w:rFonts w:ascii="Times New Roman" w:hAnsi="Times New Roman" w:cs="Times New Roman"/>
          <w:sz w:val="24"/>
          <w:szCs w:val="24"/>
        </w:rPr>
        <w:t xml:space="preserve"> and the results</w:t>
      </w:r>
      <w:r w:rsidRPr="00DE6C81">
        <w:rPr>
          <w:rFonts w:ascii="Times New Roman" w:hAnsi="Times New Roman" w:cs="Times New Roman"/>
          <w:sz w:val="24"/>
          <w:szCs w:val="24"/>
        </w:rPr>
        <w:t xml:space="preserve"> showed a reduction in the rate of patient falls. The source is helpful to nurses in that it provides a multidisciplinary approach that involves patient safety committees and quality indicator committees in common efforts of preventing patient falls. In addition, the resource is valuable to nurses because it provides a collaborative approach in implementing measures to address falls for the geriatric patient. </w:t>
      </w:r>
    </w:p>
    <w:p w:rsidR="00DE6C81" w:rsidRPr="00DE6C81" w:rsidRDefault="00DE6C81"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Pennington, D. (2019). Reducing inpatient falls on a cardiovascular progressive care unit: A quality improvement study to implement inter-professional intentional rounding. Retrieved from </w:t>
      </w:r>
      <w:hyperlink r:id="rId8" w:history="1">
        <w:r w:rsidRPr="00DE6C81">
          <w:rPr>
            <w:rStyle w:val="Hyperlink"/>
            <w:rFonts w:ascii="Times New Roman" w:hAnsi="Times New Roman" w:cs="Times New Roman"/>
            <w:sz w:val="24"/>
            <w:szCs w:val="24"/>
          </w:rPr>
          <w:t>https://commons.lib.jmu.edu/cgi/viewcontent.cgi?article=1037&amp;context=dnp201019</w:t>
        </w:r>
      </w:hyperlink>
    </w:p>
    <w:p w:rsidR="00DE6C81" w:rsidRPr="00DE6C81" w:rsidRDefault="00DE6C81"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The article explains the concepts of teamwork and collaboration in healthcare organizations to minimize falls among geriatric patients. Collaboration and teamwork ensure that nurses in the frontline and those with the patients work together to minimize patient falls. The benefits of teamwork and collaboration include improved competencies, support when needed, reduced medical errors, and enhanced communication and coordination. Through teamwork and inter-professional collaboration, nurses are more likely to learn from other professionals in regard to fall prevention. The resource provides nurses with a collaborative approach to implementing safety measures to minimize falls rather than focusing on individual efforts. In addition, where teamwork and collaboration are in place, nurses are aware of their roles, and chances of role ambiguity that may increase patient falls are minimized. Consequently, the quality of care for the patients is improved.</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Ramasamy, K. (2019). Educational Training on Falls Intervention for Elderly Patients in Acute Care Settings. Retrieved from </w:t>
      </w:r>
      <w:hyperlink r:id="rId9" w:history="1">
        <w:r w:rsidR="00DE6C81" w:rsidRPr="00DE6C81">
          <w:rPr>
            <w:rStyle w:val="Hyperlink"/>
            <w:rFonts w:ascii="Times New Roman" w:hAnsi="Times New Roman" w:cs="Times New Roman"/>
            <w:sz w:val="24"/>
            <w:szCs w:val="24"/>
          </w:rPr>
          <w:t>https://scholarworks.waldenu.edu/cgi/viewcontent.cgi?article=8343&amp;context=dissertations</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The author of this article notes that the training of nurses is a critical step in preventing falls for elderly patients. Patient falls are most prevalent where nurses have adequate knowledge of how to determine patients at risk of falling. According to the article, training of nurses helps them to identify the risk factors that contribute to increasing cases of falls, the ability to determine when a patient is about to fall, and apprehension of the intervention strategies that can be used to counter the risk of falls. Training of nurses helps an organization to build a safety culture that helps in minimizing patient falls. The information provided in this source is vital since it helps nurses to be able to identify when a patient is about to fall and gaining knowledge of the risk factors to falls associated with geriatric patients.</w:t>
      </w:r>
      <w:r w:rsidR="00E5349D" w:rsidRPr="00DE6C81">
        <w:rPr>
          <w:rFonts w:ascii="Times New Roman" w:hAnsi="Times New Roman" w:cs="Times New Roman"/>
          <w:sz w:val="24"/>
          <w:szCs w:val="24"/>
        </w:rPr>
        <w:t xml:space="preserve"> Hence nurses should incorporate training practices in the implementation of an improvement plan to prevent patient falls.</w:t>
      </w:r>
    </w:p>
    <w:p w:rsidR="00DC6778" w:rsidRPr="00DE6C81" w:rsidRDefault="00DC6778" w:rsidP="00DE6C81">
      <w:pPr>
        <w:spacing w:line="480" w:lineRule="auto"/>
        <w:jc w:val="center"/>
        <w:rPr>
          <w:rFonts w:ascii="Times New Roman" w:hAnsi="Times New Roman" w:cs="Times New Roman"/>
          <w:b/>
          <w:sz w:val="24"/>
          <w:szCs w:val="24"/>
        </w:rPr>
      </w:pPr>
      <w:r w:rsidRPr="00DE6C81">
        <w:rPr>
          <w:rFonts w:ascii="Times New Roman" w:hAnsi="Times New Roman" w:cs="Times New Roman"/>
          <w:b/>
          <w:sz w:val="24"/>
          <w:szCs w:val="24"/>
        </w:rPr>
        <w:t>Environmental Safety and Prevention Measures</w:t>
      </w:r>
    </w:p>
    <w:p w:rsidR="00DE6C81" w:rsidRPr="00DE6C81" w:rsidRDefault="00DE6C81"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Chari, S. R., Smith, S., Mudge, A., Black, A. A., Figueiro, M., Ahmed, M., ...&amp; Haines, T. P. (2016). Feasibility of a stepped wedge cluster RCT and concurrent observational sub-study to evaluate the effects of modified ward night lighting on inpatient fall rates and sleep quality: a protocol for a pilot trial. Pilot and feasibility studies, 2(1), 1. Retrieved from </w:t>
      </w:r>
      <w:hyperlink r:id="rId10" w:history="1">
        <w:r w:rsidRPr="00DE6C81">
          <w:rPr>
            <w:rStyle w:val="Hyperlink"/>
            <w:rFonts w:ascii="Times New Roman" w:hAnsi="Times New Roman" w:cs="Times New Roman"/>
            <w:sz w:val="24"/>
            <w:szCs w:val="24"/>
          </w:rPr>
          <w:t>https://pilotfeasibilitystudies.biomedcentral.com/articles/10.1186/s40814-015-0043-x</w:t>
        </w:r>
      </w:hyperlink>
    </w:p>
    <w:p w:rsidR="00DE6C81" w:rsidRPr="00DE6C81" w:rsidRDefault="00DE6C81"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The article explains that improvement of a hospital's environment, like the implementation of reliable night lighting, can reduce falls for the elderly inpatients. Old age is associated with visual problems like reduced visual acuity and low visual sensitivity, and this may increase the chances of night time falling, especially where environmental lighting is not properly implemented. The authors of this article reveal that indoor lighting and reduced rates of illumination have a high chance of preventing falls by the geriatric population. In addition, the article suggests the installation of LED-based lighting at night to cater to the functional lighting expectations of the elderly population. The recommended lighting should cover the patient's room, including the underneath of beds, in order to help the patient locate footwear, in bathrooms and sinks where the patient may get access. The article is useful to nurses since it enlightens them that effective environmental lighting is among the safety measure that can be implemented to prevent patient falls.</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Hamm, J., Money, A. G., Atwal, A., &amp; Paraskevopoulos, I. (2016). Fall prevention intervention technologies: A conceptual framework and survey of state of the art. Journal of biomedical informatics, 59, 319-345. Retrieved from </w:t>
      </w:r>
      <w:hyperlink r:id="rId11" w:history="1">
        <w:r w:rsidR="00DE6C81" w:rsidRPr="00DE6C81">
          <w:rPr>
            <w:rStyle w:val="Hyperlink"/>
            <w:rFonts w:ascii="Times New Roman" w:hAnsi="Times New Roman" w:cs="Times New Roman"/>
            <w:sz w:val="24"/>
            <w:szCs w:val="24"/>
          </w:rPr>
          <w:t>https://www.sciencedirect.com/science/article/pii/S1532046415002932</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 The article presents technology-based interventions that have the potential of minimizing falls for the geriatric population. Technology enables older patients to evaluate themselves and call for clinical support in case they sense any sign of falling. According to the authors, self-assessment for older patients is amongst the United Kingdom's personalization agenda of presenting older patients with an opportunity to self-evaluate using assistive technology. Such technologies include information and communication technologies, whereby the older patients can easily communicate to the nurses when in need of care that is geared towards preventing falls. This article is helpful since nurses are able to use technology to evaluate patients who are about to fall and then take the necessary measures within the shortest time. The use of technology facilitates the provision of quick and quality healthcare. In case a nurse responsible for a certain patient is not available, they are able to communicate with another nurse to provide care to a deserving patient. </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Zieschang, T., Schwenk, M., Becker, C., Uhlmann, L., Oster, P., &amp; Hauer, K. (2017). Falls and Physical Activity in Persons With Mild to Moderate Dementia Participating in an Intensive Motor Training. Alzheimer Disease &amp; Associated Disorders, 31(4), 307-314. Retrieved from https://www.ingentaconnect.com/content/wk/wad/2017/00000031/00000004/art00005</w:t>
      </w:r>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The authors of this article explain the concept of physical activity as amongst the environmental strategies to prevent falls for elderly patients. Elderly patients may have general body weaknesses and fractures associated with old age, and that increases their chances of falling. According to the article, physical exercise practices such as agility, tai-chi, stretching and strength have a greater potential of minimizing patient falls. Physical activities for older patients increase their agility, strength and morbidity and thus unlikely to fall. Therefore, nurses should put in place schedules for physical activities in order to improve the body strength of geriatric patients. This article is helpful to nurses since it presents some of the physical exercises that they can implement to reduce falls and improve the quality of life. Physical exercises enhance the quality of life for geriatric patients and enhance the nurse's experience.</w:t>
      </w:r>
    </w:p>
    <w:p w:rsidR="00DC6778" w:rsidRPr="00DE6C81" w:rsidRDefault="00DC6778" w:rsidP="00DE6C81">
      <w:pPr>
        <w:spacing w:line="480" w:lineRule="auto"/>
        <w:jc w:val="center"/>
        <w:rPr>
          <w:rFonts w:ascii="Times New Roman" w:hAnsi="Times New Roman" w:cs="Times New Roman"/>
          <w:b/>
          <w:sz w:val="24"/>
          <w:szCs w:val="24"/>
        </w:rPr>
      </w:pPr>
      <w:r w:rsidRPr="00DE6C81">
        <w:rPr>
          <w:rFonts w:ascii="Times New Roman" w:hAnsi="Times New Roman" w:cs="Times New Roman"/>
          <w:b/>
          <w:sz w:val="24"/>
          <w:szCs w:val="24"/>
        </w:rPr>
        <w:t>Staff-based Prevention Measures</w:t>
      </w:r>
    </w:p>
    <w:p w:rsidR="00DE6C81" w:rsidRPr="00DE6C81" w:rsidRDefault="00DE6C81"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BSN-RN, B., Barron, B. S. N., &amp; O'Reilly, B. S. N. (2016). Watching your Step: Engaging Patients to Prevent Falls. Retrieved from </w:t>
      </w:r>
      <w:hyperlink r:id="rId12" w:history="1">
        <w:r w:rsidRPr="00DE6C81">
          <w:rPr>
            <w:rStyle w:val="Hyperlink"/>
            <w:rFonts w:ascii="Times New Roman" w:hAnsi="Times New Roman" w:cs="Times New Roman"/>
            <w:sz w:val="24"/>
            <w:szCs w:val="24"/>
          </w:rPr>
          <w:t>https://www.inovaideas.org/cgi/viewcontent.cgi?referer=https://scholar.google.com/&amp;httpsredir=1&amp;article=1036&amp;context=nursingresearchsymposium</w:t>
        </w:r>
      </w:hyperlink>
    </w:p>
    <w:p w:rsidR="00DE6C81" w:rsidRPr="00DE6C81" w:rsidRDefault="00DE6C81"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This article provides information that patients should also be engaged in efforts to prevent falls. According to the authors of the article, engaging patients in the effort to minimize falls is a way of empowering them. This makes them active players in any interventions set by the hospital to minimize falls. Nurses should train patients on how to use bed alarms, call bell buttons, use wristbands and non-skid socks as some of the measures that minimize falls and enhance the quality of life. When training the patients, nurses should inquire from the patients the causes of their falls, and this may help them identify critical factors to patient falls and then act accordingly. The article is useful to nurses since it helps nurses understand that patient engagement is vital in implementing an improvement tool kit. </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Chu, R. Z. (2017). Preventing inpatient </w:t>
      </w:r>
      <w:bookmarkStart w:id="0" w:name="_GoBack"/>
      <w:r w:rsidRPr="00DE6C81">
        <w:rPr>
          <w:rFonts w:ascii="Times New Roman" w:hAnsi="Times New Roman" w:cs="Times New Roman"/>
          <w:sz w:val="24"/>
          <w:szCs w:val="24"/>
        </w:rPr>
        <w:t xml:space="preserve">falls </w:t>
      </w:r>
      <w:bookmarkEnd w:id="0"/>
      <w:r w:rsidRPr="00DE6C81">
        <w:rPr>
          <w:rFonts w:ascii="Times New Roman" w:hAnsi="Times New Roman" w:cs="Times New Roman"/>
          <w:sz w:val="24"/>
          <w:szCs w:val="24"/>
        </w:rPr>
        <w:t xml:space="preserve">The nurse's pivotal role. Nursing2019, 47(3), 24-30. Retrieved from </w:t>
      </w:r>
      <w:hyperlink r:id="rId13" w:history="1">
        <w:r w:rsidR="00DE6C81" w:rsidRPr="00DE6C81">
          <w:rPr>
            <w:rStyle w:val="Hyperlink"/>
            <w:rFonts w:ascii="Times New Roman" w:hAnsi="Times New Roman" w:cs="Times New Roman"/>
            <w:sz w:val="24"/>
            <w:szCs w:val="24"/>
          </w:rPr>
          <w:t>https://journals.lww.com/nursing/Fulltext/2017/03000/Preventing_in_patient_falls__The_nurse_s_pivotal.8.aspx</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Falls among geriatric patients increase their stay at hospitals, results in physical injuries and reduce the quality of life. Therefore, this article states that nurses are key human resources involved in minimizing patient falls, specifically among the older population. The nurse's availability ensures hourly rounding and makes the patient feel safer. The author of this article introduces the concept of the 4ps (position, possession, potty and pain) that nurses should be aware of to minimize falls. The information of the 4ps presented by the article helps nurses </w:t>
      </w:r>
      <w:r w:rsidR="00E5349D" w:rsidRPr="00DE6C81">
        <w:rPr>
          <w:rFonts w:ascii="Times New Roman" w:hAnsi="Times New Roman" w:cs="Times New Roman"/>
          <w:sz w:val="24"/>
          <w:szCs w:val="24"/>
        </w:rPr>
        <w:t xml:space="preserve">to </w:t>
      </w:r>
      <w:r w:rsidRPr="00DE6C81">
        <w:rPr>
          <w:rFonts w:ascii="Times New Roman" w:hAnsi="Times New Roman" w:cs="Times New Roman"/>
          <w:sz w:val="24"/>
          <w:szCs w:val="24"/>
        </w:rPr>
        <w:t>implement this strategy to combat patient falls, prevent injuries, assist the patient where necessary, and thus enhance the quality of life.</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Santoso, W., &amp; Saleh, T. (2018). Nursing Compliance In Implementing Standard Operating Procedures Of Patient Prevention. INTERNATIONAL JOURNAL OF NURSING AND MIDWIFERY SCIENCE (IJNMS), 2(02), 205-210. Retrieved from </w:t>
      </w:r>
      <w:hyperlink r:id="rId14" w:history="1">
        <w:r w:rsidR="00DE6C81" w:rsidRPr="00DE6C81">
          <w:rPr>
            <w:rStyle w:val="Hyperlink"/>
            <w:rFonts w:ascii="Times New Roman" w:hAnsi="Times New Roman" w:cs="Times New Roman"/>
            <w:sz w:val="24"/>
            <w:szCs w:val="24"/>
          </w:rPr>
          <w:t>http://ijnms.net/index.php/ijnms/article/view/148</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The article states that preventing patient falls among the goals of ensuring patient safety. The authors of this article bring in the concept of compliance of nurses to implement the standard operating procedures established to minimize patient falls. According to information from the article, a larger percentage of nurses do not implement safety measures geared towards improving patient safety. Consequently, patient safety has been put at risk. The factors associated with non-compliance of patients include attitude, education and age of the nurses.  Other nurses do not sufficiently understand the standard operating procedures. Therefore, this article is useful to nurses since they are able to understand that compliance with standard operating procedures in their healthcare setting is essential in preventing patient falls.  </w:t>
      </w:r>
    </w:p>
    <w:p w:rsidR="00DC6778" w:rsidRPr="00DE6C81" w:rsidRDefault="00DC6778" w:rsidP="00DE6C81">
      <w:pPr>
        <w:spacing w:line="480" w:lineRule="auto"/>
        <w:jc w:val="center"/>
        <w:rPr>
          <w:rFonts w:ascii="Times New Roman" w:hAnsi="Times New Roman" w:cs="Times New Roman"/>
          <w:b/>
          <w:sz w:val="24"/>
          <w:szCs w:val="24"/>
        </w:rPr>
      </w:pPr>
      <w:r w:rsidRPr="00DE6C81">
        <w:rPr>
          <w:rFonts w:ascii="Times New Roman" w:hAnsi="Times New Roman" w:cs="Times New Roman"/>
          <w:b/>
          <w:sz w:val="24"/>
          <w:szCs w:val="24"/>
        </w:rPr>
        <w:t>Best Practices for Reporting and Improving Environmental Safety Issues</w:t>
      </w:r>
    </w:p>
    <w:p w:rsidR="00DE6C81" w:rsidRPr="00DE6C81" w:rsidRDefault="00DE6C81"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Joseph, A., Henriksen, K., &amp; Malone, E. (2018). The architecture of safety: An emerging priority for improving patient safety. Health Affairs, 37(11), 1884-1891. Retrieved from </w:t>
      </w:r>
      <w:hyperlink r:id="rId15" w:history="1">
        <w:r w:rsidRPr="00DE6C81">
          <w:rPr>
            <w:rStyle w:val="Hyperlink"/>
            <w:rFonts w:ascii="Times New Roman" w:hAnsi="Times New Roman" w:cs="Times New Roman"/>
            <w:sz w:val="24"/>
            <w:szCs w:val="24"/>
          </w:rPr>
          <w:t>https://www.healthaffairs.org/doi/full/10.1377/hlthaff.2018.0643</w:t>
        </w:r>
      </w:hyperlink>
    </w:p>
    <w:p w:rsidR="00DE6C81" w:rsidRPr="00DE6C81" w:rsidRDefault="00DE6C81"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This article presents evidence-based results of linking the design of healthcare to anticipated safety outcomes. The authors of the article note that there is a lack of awareness concerning how healthcare design can impact the rate of patient falls. A healthcare design that allows for reporting of safety issues is likely to improve safety and healthcare outcomes. The benefits of linking healthcare design to safety outcomes include reporting any safety issues and building a culture where every employee feels free to report any patient safety issue and improve the safety of both staff and patients. The article is helpful to nurses since it provides evidence-based results concerning a successful implementation of healthcare design that is linked to safety outcomes.</w:t>
      </w:r>
    </w:p>
    <w:p w:rsidR="00DC6778" w:rsidRPr="00DE6C81" w:rsidRDefault="00DC6778" w:rsidP="00DE6C81">
      <w:pPr>
        <w:spacing w:line="480" w:lineRule="auto"/>
        <w:rPr>
          <w:rFonts w:ascii="Times New Roman" w:hAnsi="Times New Roman" w:cs="Times New Roman"/>
          <w:sz w:val="24"/>
          <w:szCs w:val="24"/>
        </w:rPr>
      </w:pPr>
      <w:r w:rsidRPr="00DE6C81">
        <w:rPr>
          <w:rFonts w:ascii="Times New Roman" w:hAnsi="Times New Roman" w:cs="Times New Roman"/>
          <w:sz w:val="24"/>
          <w:szCs w:val="24"/>
        </w:rPr>
        <w:t xml:space="preserve">Patankar, M. S., &amp; Brown, J. P. (2019, August). Adapting systems thinking and safety reporting in high-consequence industries to healthcare. In Seminars in perinatology. WB Saunders. Retrieved from </w:t>
      </w:r>
      <w:hyperlink r:id="rId16" w:history="1">
        <w:r w:rsidR="00DE6C81" w:rsidRPr="00DE6C81">
          <w:rPr>
            <w:rStyle w:val="Hyperlink"/>
            <w:rFonts w:ascii="Times New Roman" w:hAnsi="Times New Roman" w:cs="Times New Roman"/>
            <w:sz w:val="24"/>
            <w:szCs w:val="24"/>
          </w:rPr>
          <w:t>https://www.sciencedirect.com/science/article/abs/pii/S0146000519301144</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The authors of this article hint that an incident reporting system is the most effective method to determine patient safety in a healthcare setting. However, not all incidences associated with patient falls are reported. This article provides critical information that programs for system reporting, and mechanism to gather feedback can actively enhance the safety of geriatric patients. Some patients may fall, but the absence of any witness hinders the reporting of such cases. The benefits of safety reporting include the prevention of a future incidence and improving the quality of life. This article is helpful to nurses since it highlights some of the benefits of safety reporting; hence nurses should implement safety reporting practices</w:t>
      </w:r>
      <w:r w:rsidR="003F6CFF" w:rsidRPr="00DE6C81">
        <w:rPr>
          <w:rFonts w:ascii="Times New Roman" w:hAnsi="Times New Roman" w:cs="Times New Roman"/>
          <w:sz w:val="24"/>
          <w:szCs w:val="24"/>
        </w:rPr>
        <w:t xml:space="preserve"> as part of the improvement plan to</w:t>
      </w:r>
      <w:r w:rsidRPr="00DE6C81">
        <w:rPr>
          <w:rFonts w:ascii="Times New Roman" w:hAnsi="Times New Roman" w:cs="Times New Roman"/>
          <w:sz w:val="24"/>
          <w:szCs w:val="24"/>
        </w:rPr>
        <w:t xml:space="preserve"> tap the benefits and improve the quality of care. </w:t>
      </w:r>
    </w:p>
    <w:p w:rsidR="00DC6778" w:rsidRPr="00DE6C81" w:rsidRDefault="00DC6778"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Wright, J., Lawton, R., O'Hara, J., Armitage, G., Sheard, L., Marsh, C., ...&amp; Thomson, R. (2016). Learning from error: a systematic review of the evidence on patient reporting of patient safety in hospital settings. In </w:t>
      </w:r>
      <w:r w:rsidR="00DE6C81" w:rsidRPr="00DE6C81">
        <w:rPr>
          <w:rFonts w:ascii="Times New Roman" w:hAnsi="Times New Roman" w:cs="Times New Roman"/>
          <w:sz w:val="24"/>
          <w:szCs w:val="24"/>
        </w:rPr>
        <w:t>improving</w:t>
      </w:r>
      <w:r w:rsidRPr="00DE6C81">
        <w:rPr>
          <w:rFonts w:ascii="Times New Roman" w:hAnsi="Times New Roman" w:cs="Times New Roman"/>
          <w:sz w:val="24"/>
          <w:szCs w:val="24"/>
        </w:rPr>
        <w:t xml:space="preserve"> patient safety through the involvement of patients: development and evaluation of novel interventions to engage patients in preventing patient safety incidents and protecting them against unintended harm. NIHR Journals Library. Retrieved from </w:t>
      </w:r>
      <w:hyperlink r:id="rId17" w:history="1">
        <w:r w:rsidR="00DE6C81" w:rsidRPr="00DE6C81">
          <w:rPr>
            <w:rStyle w:val="Hyperlink"/>
            <w:rFonts w:ascii="Times New Roman" w:hAnsi="Times New Roman" w:cs="Times New Roman"/>
            <w:sz w:val="24"/>
            <w:szCs w:val="24"/>
          </w:rPr>
          <w:t>https://www.ncbi.nlm.nih.gov/books/NBK390630/</w:t>
        </w:r>
      </w:hyperlink>
    </w:p>
    <w:p w:rsidR="00DC6778" w:rsidRPr="00DE6C81" w:rsidRDefault="00DC6778" w:rsidP="00DE6C81">
      <w:pPr>
        <w:spacing w:line="480" w:lineRule="auto"/>
        <w:ind w:firstLine="720"/>
        <w:rPr>
          <w:rFonts w:ascii="Times New Roman" w:hAnsi="Times New Roman" w:cs="Times New Roman"/>
          <w:sz w:val="24"/>
          <w:szCs w:val="24"/>
        </w:rPr>
      </w:pPr>
      <w:r w:rsidRPr="00DE6C81">
        <w:rPr>
          <w:rFonts w:ascii="Times New Roman" w:hAnsi="Times New Roman" w:cs="Times New Roman"/>
          <w:sz w:val="24"/>
          <w:szCs w:val="24"/>
        </w:rPr>
        <w:t xml:space="preserve">This article presents peer-reviewed information concerning the role of patients in reporting patient safety issues in a healthcare setting. The authors note that patients are significantly becoming central players in revealing safety problems. The article also provides evidence-based results from 5 databases. Data from the 5 databases revealed that patients were able to report patient safety incidents. Whenever patient safety incidences were reported, appropriate measures were taken. Therefore, nurses should implement appropriate reporting mechanisms for safety issues. The article is useful to nurses since it brings to their attention that nurses should incorporate patient reporting when implementing an improvement plan to prevent patient falls. </w:t>
      </w: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2E1080" w:rsidRDefault="002E1080" w:rsidP="00DE6C81">
      <w:pPr>
        <w:spacing w:line="480" w:lineRule="auto"/>
        <w:jc w:val="center"/>
        <w:rPr>
          <w:rFonts w:ascii="Times New Roman" w:hAnsi="Times New Roman" w:cs="Times New Roman"/>
          <w:sz w:val="24"/>
          <w:szCs w:val="24"/>
        </w:rPr>
      </w:pPr>
    </w:p>
    <w:p w:rsidR="003F6CFF" w:rsidRPr="00DE6C81" w:rsidRDefault="00DC6778" w:rsidP="00DE6C81">
      <w:pPr>
        <w:spacing w:line="480" w:lineRule="auto"/>
        <w:jc w:val="center"/>
        <w:rPr>
          <w:rFonts w:ascii="Times New Roman" w:hAnsi="Times New Roman" w:cs="Times New Roman"/>
          <w:sz w:val="24"/>
          <w:szCs w:val="24"/>
        </w:rPr>
      </w:pPr>
      <w:r w:rsidRPr="00DE6C81">
        <w:rPr>
          <w:rFonts w:ascii="Times New Roman" w:hAnsi="Times New Roman" w:cs="Times New Roman"/>
          <w:sz w:val="24"/>
          <w:szCs w:val="24"/>
        </w:rPr>
        <w:t>References</w:t>
      </w:r>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BSN-RN, B., Barron, B. S. N., &amp; O'Reilly, B. S. N. (2016). Watching your Step: Engaging Patients to Prevent Falls. Retrieved from </w:t>
      </w:r>
      <w:hyperlink r:id="rId18" w:history="1">
        <w:r w:rsidR="00DE6C81" w:rsidRPr="00E06CF8">
          <w:rPr>
            <w:rStyle w:val="Hyperlink"/>
            <w:rFonts w:ascii="Times New Roman" w:hAnsi="Times New Roman" w:cs="Times New Roman"/>
            <w:sz w:val="24"/>
            <w:szCs w:val="24"/>
          </w:rPr>
          <w:t>https://www.inovaideas.org/cgi/viewcontent.cgi?referer=https://scholar.google.com/&amp;httpsredir=1&amp;article=1036&amp;context=nursingresearchsymposium</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Chari, S. R., Smith, S., Mudge, A., Black, A. A., Figueiro, M., Ahmed, M., ...&amp; Haines, T. P. (2016). Feasibility of a stepped wedge cluster RCT and concurrent observational sub-study to evaluate the effects of modified ward night lighting on inpatient fall rates and sleep quality: a protocol for a pilot trial. Pilot and feasibility studies, 2(1), 1. Retrieved from </w:t>
      </w:r>
      <w:hyperlink r:id="rId19" w:history="1">
        <w:r w:rsidR="00DE6C81" w:rsidRPr="00E06CF8">
          <w:rPr>
            <w:rStyle w:val="Hyperlink"/>
            <w:rFonts w:ascii="Times New Roman" w:hAnsi="Times New Roman" w:cs="Times New Roman"/>
            <w:sz w:val="24"/>
            <w:szCs w:val="24"/>
          </w:rPr>
          <w:t>https://pilotfeasibilitystudies.biomedcentral.com/articles/10.1186/s40814-015-0043-x</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Chu, R. Z. (2017). Preventing inpatient falls The nurse's pivotal role. Nursing2019, 47(3), 24-30. Retrieved from </w:t>
      </w:r>
      <w:hyperlink r:id="rId20" w:history="1">
        <w:r w:rsidR="00DE6C81" w:rsidRPr="00E06CF8">
          <w:rPr>
            <w:rStyle w:val="Hyperlink"/>
            <w:rFonts w:ascii="Times New Roman" w:hAnsi="Times New Roman" w:cs="Times New Roman"/>
            <w:sz w:val="24"/>
            <w:szCs w:val="24"/>
          </w:rPr>
          <w:t>https://journals.lww.com/nursing/Fulltext/2017/03000/Preventing_in_patient_falls__The_nurse_s_pivotal.8.aspx</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France, D., Slayton, J., Moore, S., Domenico, H., Matthews, J., Steaban, R. L., &amp; Choma, N. (2017). A multicomponent fall prevention strategy reduces falls at an academic medical center. The Joint Commission Journal on Quality and Patient Safety, 43(9), 460-470. Retrieved from https://www.sciencedirect.com/science/article/abs/pii/S1553725016300319 </w:t>
      </w:r>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Hamm, J., Money, A. G., Atwal, A., &amp; Paraskevopoulos, I. (2016). Fall prevention intervention technologies: A conceptual framework and survey of state of the art. Journal of biomedical informatics, 59, 319-345. Retrieved from </w:t>
      </w:r>
      <w:hyperlink r:id="rId21" w:history="1">
        <w:r w:rsidR="00DE6C81" w:rsidRPr="00E06CF8">
          <w:rPr>
            <w:rStyle w:val="Hyperlink"/>
            <w:rFonts w:ascii="Times New Roman" w:hAnsi="Times New Roman" w:cs="Times New Roman"/>
            <w:sz w:val="24"/>
            <w:szCs w:val="24"/>
          </w:rPr>
          <w:t>https://www.sciencedirect.com/science/article/pii/S1532046415002932</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Joseph, A., Henriksen, K., &amp; Malone, E. (2018). The architecture of safety: An emerging priority for improving patient safety. Health Affairs, 37(11), 1884-1891. Retrieved from </w:t>
      </w:r>
      <w:hyperlink r:id="rId22" w:history="1">
        <w:r w:rsidR="00DE6C81" w:rsidRPr="00E06CF8">
          <w:rPr>
            <w:rStyle w:val="Hyperlink"/>
            <w:rFonts w:ascii="Times New Roman" w:hAnsi="Times New Roman" w:cs="Times New Roman"/>
            <w:sz w:val="24"/>
            <w:szCs w:val="24"/>
          </w:rPr>
          <w:t>https://www.healthaffairs.org/doi/full/10.1377/hlthaff.2018.0643</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Patankar, M. S., &amp; Brown, J. P. (2019, August). Adapting systems thinking and safety reporting in high-consequence industries to healthcare. In Seminars in perinatology. WB Saunders. Retrieved from </w:t>
      </w:r>
      <w:hyperlink r:id="rId23" w:history="1">
        <w:r w:rsidR="00DE6C81" w:rsidRPr="00E06CF8">
          <w:rPr>
            <w:rStyle w:val="Hyperlink"/>
            <w:rFonts w:ascii="Times New Roman" w:hAnsi="Times New Roman" w:cs="Times New Roman"/>
            <w:sz w:val="24"/>
            <w:szCs w:val="24"/>
          </w:rPr>
          <w:t>https://www.sciencedirect.com/science/article/abs/pii/S0146000519301144</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Pennington, D. (2019). Reducing inpatient falls on a cardiovascular progressive care unit: A quality improvement study to implement inter-professional intentional rounding. Retrieved from </w:t>
      </w:r>
      <w:hyperlink r:id="rId24" w:history="1">
        <w:r w:rsidR="00DE6C81" w:rsidRPr="00E06CF8">
          <w:rPr>
            <w:rStyle w:val="Hyperlink"/>
            <w:rFonts w:ascii="Times New Roman" w:hAnsi="Times New Roman" w:cs="Times New Roman"/>
            <w:sz w:val="24"/>
            <w:szCs w:val="24"/>
          </w:rPr>
          <w:t>https://commons.lib.jmu.edu/cgi/viewcontent.cgi?article=1037&amp;context=dnp201019</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Ramasamy, K. (2019). Educational Training on Falls Intervention for Elderly Patients in Acute Care Settings. Retrieved from </w:t>
      </w:r>
      <w:hyperlink r:id="rId25" w:history="1">
        <w:r w:rsidR="00DE6C81" w:rsidRPr="00E06CF8">
          <w:rPr>
            <w:rStyle w:val="Hyperlink"/>
            <w:rFonts w:ascii="Times New Roman" w:hAnsi="Times New Roman" w:cs="Times New Roman"/>
            <w:sz w:val="24"/>
            <w:szCs w:val="24"/>
          </w:rPr>
          <w:t>https://scholarworks.waldenu.edu/cgi/viewcontent.cgi?article=8343&amp;context=dissertations</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Santoso, W., &amp; Saleh, T. (2018). Nursing Compliance In Implementing Standard Operating Procedures Of Patient Prevention. INTERNATIONAL JOURNAL OF NURSING AND MIDWIFERY SCIENCE (IJNMS), 2(02), 205-210. Retrieved from </w:t>
      </w:r>
      <w:hyperlink r:id="rId26" w:history="1">
        <w:r w:rsidR="00DE6C81" w:rsidRPr="00E06CF8">
          <w:rPr>
            <w:rStyle w:val="Hyperlink"/>
            <w:rFonts w:ascii="Times New Roman" w:hAnsi="Times New Roman" w:cs="Times New Roman"/>
            <w:sz w:val="24"/>
            <w:szCs w:val="24"/>
          </w:rPr>
          <w:t>http://ijnms.net/index.php/ijnms/article/view/148</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Wright, J., Lawton, R., O'Hara, J., Armitage, G., Sheard, L., Marsh, C., ...&amp; Thomson, R. (2016). Learning from error: a systematic review of the evidence on patient reporting of patient safety in hospital settings. In Improving patient safety through the involvement of patients: development and evaluation of novel interventions to engage patients in preventing patient safety incidents and protecting them against unintended harm. NIHR Journals Library. Retrieved from </w:t>
      </w:r>
      <w:hyperlink r:id="rId27" w:history="1">
        <w:r w:rsidR="00DE6C81" w:rsidRPr="00E06CF8">
          <w:rPr>
            <w:rStyle w:val="Hyperlink"/>
            <w:rFonts w:ascii="Times New Roman" w:hAnsi="Times New Roman" w:cs="Times New Roman"/>
            <w:sz w:val="24"/>
            <w:szCs w:val="24"/>
          </w:rPr>
          <w:t>https://www.ncbi.nlm.nih.gov/books/NBK390630/</w:t>
        </w:r>
      </w:hyperlink>
    </w:p>
    <w:p w:rsidR="003F6CFF" w:rsidRPr="00DE6C81" w:rsidRDefault="003F6CFF" w:rsidP="00DE6C81">
      <w:pPr>
        <w:spacing w:line="480" w:lineRule="auto"/>
        <w:ind w:left="720" w:hanging="720"/>
        <w:rPr>
          <w:rFonts w:ascii="Times New Roman" w:hAnsi="Times New Roman" w:cs="Times New Roman"/>
          <w:sz w:val="24"/>
          <w:szCs w:val="24"/>
        </w:rPr>
      </w:pPr>
      <w:r w:rsidRPr="00DE6C81">
        <w:rPr>
          <w:rFonts w:ascii="Times New Roman" w:hAnsi="Times New Roman" w:cs="Times New Roman"/>
          <w:sz w:val="24"/>
          <w:szCs w:val="24"/>
        </w:rPr>
        <w:t xml:space="preserve">Zieschang, T., Schwenk, M., Becker, C., Uhlmann, L., Oster, P., &amp; Hauer, K. (2017). Falls and Physical Activity in Persons With Mild to Moderate Dementia Participating in an Intensive Motor Training. Alzheimer Disease &amp; Associated Disorders, 31(4), 307-314. Retrieved from </w:t>
      </w:r>
      <w:hyperlink r:id="rId28" w:history="1">
        <w:r w:rsidR="00DE6C81" w:rsidRPr="00E06CF8">
          <w:rPr>
            <w:rStyle w:val="Hyperlink"/>
            <w:rFonts w:ascii="Times New Roman" w:hAnsi="Times New Roman" w:cs="Times New Roman"/>
            <w:sz w:val="24"/>
            <w:szCs w:val="24"/>
          </w:rPr>
          <w:t>https://www.ingentaconnect.com/content/wk/wad/2017/00000031/00000004/art00005</w:t>
        </w:r>
      </w:hyperlink>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C6778" w:rsidRPr="00DE6C81" w:rsidRDefault="00DC6778" w:rsidP="00DE6C81">
      <w:pPr>
        <w:spacing w:line="480" w:lineRule="auto"/>
        <w:rPr>
          <w:rFonts w:ascii="Times New Roman" w:hAnsi="Times New Roman" w:cs="Times New Roman"/>
          <w:sz w:val="24"/>
          <w:szCs w:val="24"/>
        </w:rPr>
      </w:pPr>
    </w:p>
    <w:p w:rsidR="00DA7AC2" w:rsidRPr="00DE6C81" w:rsidRDefault="00DA7AC2" w:rsidP="00DE6C81">
      <w:pPr>
        <w:spacing w:line="480" w:lineRule="auto"/>
        <w:rPr>
          <w:rFonts w:ascii="Times New Roman" w:hAnsi="Times New Roman" w:cs="Times New Roman"/>
          <w:sz w:val="24"/>
          <w:szCs w:val="24"/>
        </w:rPr>
      </w:pPr>
    </w:p>
    <w:sectPr w:rsidR="00DA7AC2" w:rsidRPr="00DE6C81" w:rsidSect="00DE6C81">
      <w:headerReference w:type="default" r:id="rId29"/>
      <w:headerReference w:type="first" r:id="rId3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9A6" w:rsidRDefault="003E09A6" w:rsidP="00DE6C81">
      <w:pPr>
        <w:spacing w:after="0" w:line="240" w:lineRule="auto"/>
      </w:pPr>
      <w:r>
        <w:separator/>
      </w:r>
    </w:p>
  </w:endnote>
  <w:endnote w:type="continuationSeparator" w:id="1">
    <w:p w:rsidR="003E09A6" w:rsidRDefault="003E09A6" w:rsidP="00DE6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9A6" w:rsidRDefault="003E09A6" w:rsidP="00DE6C81">
      <w:pPr>
        <w:spacing w:after="0" w:line="240" w:lineRule="auto"/>
      </w:pPr>
      <w:r>
        <w:separator/>
      </w:r>
    </w:p>
  </w:footnote>
  <w:footnote w:type="continuationSeparator" w:id="1">
    <w:p w:rsidR="003E09A6" w:rsidRDefault="003E09A6" w:rsidP="00DE6C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81" w:rsidRPr="00DE6C81" w:rsidRDefault="00DE6C81">
    <w:pPr>
      <w:pStyle w:val="Header"/>
      <w:rPr>
        <w:rFonts w:ascii="Times New Roman" w:hAnsi="Times New Roman" w:cs="Times New Roman"/>
        <w:sz w:val="24"/>
        <w:szCs w:val="24"/>
      </w:rPr>
    </w:pPr>
    <w:r w:rsidRPr="00DE6C81">
      <w:rPr>
        <w:rFonts w:ascii="Times New Roman" w:hAnsi="Times New Roman" w:cs="Times New Roman"/>
        <w:sz w:val="24"/>
        <w:szCs w:val="24"/>
      </w:rPr>
      <w:t>IMPROVEMENT PLAN TOOL KIT</w:t>
    </w:r>
    <w:r w:rsidRPr="00DE6C81">
      <w:rPr>
        <w:rFonts w:ascii="Times New Roman" w:hAnsi="Times New Roman" w:cs="Times New Roman"/>
        <w:sz w:val="24"/>
        <w:szCs w:val="24"/>
      </w:rPr>
      <w:tab/>
    </w:r>
    <w:r w:rsidRPr="00DE6C81">
      <w:rPr>
        <w:rFonts w:ascii="Times New Roman" w:hAnsi="Times New Roman" w:cs="Times New Roman"/>
        <w:sz w:val="24"/>
        <w:szCs w:val="24"/>
      </w:rPr>
      <w:tab/>
    </w:r>
    <w:r w:rsidR="00B21591" w:rsidRPr="00DE6C81">
      <w:rPr>
        <w:rFonts w:ascii="Times New Roman" w:hAnsi="Times New Roman" w:cs="Times New Roman"/>
        <w:sz w:val="24"/>
        <w:szCs w:val="24"/>
      </w:rPr>
      <w:fldChar w:fldCharType="begin"/>
    </w:r>
    <w:r w:rsidRPr="00DE6C81">
      <w:rPr>
        <w:rFonts w:ascii="Times New Roman" w:hAnsi="Times New Roman" w:cs="Times New Roman"/>
        <w:sz w:val="24"/>
        <w:szCs w:val="24"/>
      </w:rPr>
      <w:instrText xml:space="preserve"> PAGE   \* MERGEFORMAT </w:instrText>
    </w:r>
    <w:r w:rsidR="00B21591" w:rsidRPr="00DE6C81">
      <w:rPr>
        <w:rFonts w:ascii="Times New Roman" w:hAnsi="Times New Roman" w:cs="Times New Roman"/>
        <w:sz w:val="24"/>
        <w:szCs w:val="24"/>
      </w:rPr>
      <w:fldChar w:fldCharType="separate"/>
    </w:r>
    <w:r w:rsidR="00473BE6">
      <w:rPr>
        <w:rFonts w:ascii="Times New Roman" w:hAnsi="Times New Roman" w:cs="Times New Roman"/>
        <w:noProof/>
        <w:sz w:val="24"/>
        <w:szCs w:val="24"/>
      </w:rPr>
      <w:t>2</w:t>
    </w:r>
    <w:r w:rsidR="00B21591" w:rsidRPr="00DE6C81">
      <w:rPr>
        <w:rFonts w:ascii="Times New Roman" w:hAnsi="Times New Roman" w:cs="Times New Roman"/>
        <w:noProof/>
        <w:sz w:val="24"/>
        <w:szCs w:val="24"/>
      </w:rPr>
      <w:fldChar w:fldCharType="end"/>
    </w:r>
  </w:p>
  <w:p w:rsidR="00DE6C81" w:rsidRDefault="00DE6C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81" w:rsidRPr="00DE6C81" w:rsidRDefault="00DE6C81">
    <w:pPr>
      <w:pStyle w:val="Header"/>
      <w:rPr>
        <w:rFonts w:ascii="Times New Roman" w:hAnsi="Times New Roman" w:cs="Times New Roman"/>
        <w:sz w:val="24"/>
        <w:szCs w:val="24"/>
      </w:rPr>
    </w:pPr>
    <w:r w:rsidRPr="00DE6C81">
      <w:rPr>
        <w:rFonts w:ascii="Times New Roman" w:hAnsi="Times New Roman" w:cs="Times New Roman"/>
        <w:sz w:val="24"/>
        <w:szCs w:val="24"/>
      </w:rPr>
      <w:t>Running head: IMPROVEMENT PLAN TOOL KIT</w:t>
    </w:r>
    <w:r w:rsidRPr="00DE6C81">
      <w:rPr>
        <w:rFonts w:ascii="Times New Roman" w:hAnsi="Times New Roman" w:cs="Times New Roman"/>
        <w:sz w:val="24"/>
        <w:szCs w:val="24"/>
      </w:rPr>
      <w:tab/>
    </w:r>
    <w:r w:rsidRPr="00DE6C81">
      <w:rPr>
        <w:rFonts w:ascii="Times New Roman" w:hAnsi="Times New Roman" w:cs="Times New Roman"/>
        <w:sz w:val="24"/>
        <w:szCs w:val="24"/>
      </w:rPr>
      <w:tab/>
    </w:r>
    <w:r w:rsidR="00B21591" w:rsidRPr="00DE6C81">
      <w:rPr>
        <w:rFonts w:ascii="Times New Roman" w:hAnsi="Times New Roman" w:cs="Times New Roman"/>
        <w:sz w:val="24"/>
        <w:szCs w:val="24"/>
      </w:rPr>
      <w:fldChar w:fldCharType="begin"/>
    </w:r>
    <w:r w:rsidRPr="00DE6C81">
      <w:rPr>
        <w:rFonts w:ascii="Times New Roman" w:hAnsi="Times New Roman" w:cs="Times New Roman"/>
        <w:sz w:val="24"/>
        <w:szCs w:val="24"/>
      </w:rPr>
      <w:instrText xml:space="preserve"> PAGE   \* MERGEFORMAT </w:instrText>
    </w:r>
    <w:r w:rsidR="00B21591" w:rsidRPr="00DE6C81">
      <w:rPr>
        <w:rFonts w:ascii="Times New Roman" w:hAnsi="Times New Roman" w:cs="Times New Roman"/>
        <w:sz w:val="24"/>
        <w:szCs w:val="24"/>
      </w:rPr>
      <w:fldChar w:fldCharType="separate"/>
    </w:r>
    <w:r w:rsidR="00473BE6">
      <w:rPr>
        <w:rFonts w:ascii="Times New Roman" w:hAnsi="Times New Roman" w:cs="Times New Roman"/>
        <w:noProof/>
        <w:sz w:val="24"/>
        <w:szCs w:val="24"/>
      </w:rPr>
      <w:t>1</w:t>
    </w:r>
    <w:r w:rsidR="00B21591" w:rsidRPr="00DE6C8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7AC2"/>
    <w:rsid w:val="001A2449"/>
    <w:rsid w:val="001E2EFF"/>
    <w:rsid w:val="00224B13"/>
    <w:rsid w:val="002E1080"/>
    <w:rsid w:val="003E09A6"/>
    <w:rsid w:val="003F6CFF"/>
    <w:rsid w:val="00437B1C"/>
    <w:rsid w:val="00442686"/>
    <w:rsid w:val="00473BE6"/>
    <w:rsid w:val="004B43FE"/>
    <w:rsid w:val="005754C1"/>
    <w:rsid w:val="00601AA2"/>
    <w:rsid w:val="006C65AE"/>
    <w:rsid w:val="006D4CB9"/>
    <w:rsid w:val="006D7B86"/>
    <w:rsid w:val="007D1FB8"/>
    <w:rsid w:val="008C55CD"/>
    <w:rsid w:val="008E0F93"/>
    <w:rsid w:val="0097720D"/>
    <w:rsid w:val="009B4E62"/>
    <w:rsid w:val="009C0343"/>
    <w:rsid w:val="00A92323"/>
    <w:rsid w:val="00A95009"/>
    <w:rsid w:val="00B21591"/>
    <w:rsid w:val="00BB1338"/>
    <w:rsid w:val="00C0036F"/>
    <w:rsid w:val="00C00E44"/>
    <w:rsid w:val="00C17278"/>
    <w:rsid w:val="00CE634C"/>
    <w:rsid w:val="00D2773F"/>
    <w:rsid w:val="00D84329"/>
    <w:rsid w:val="00DA0F93"/>
    <w:rsid w:val="00DA7AC2"/>
    <w:rsid w:val="00DC6778"/>
    <w:rsid w:val="00DE6C81"/>
    <w:rsid w:val="00DF3783"/>
    <w:rsid w:val="00E5349D"/>
    <w:rsid w:val="00E67A8A"/>
    <w:rsid w:val="00F3597A"/>
    <w:rsid w:val="00FB4999"/>
    <w:rsid w:val="00FD70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E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F93"/>
    <w:rPr>
      <w:color w:val="0000FF" w:themeColor="hyperlink"/>
      <w:u w:val="single"/>
    </w:rPr>
  </w:style>
  <w:style w:type="paragraph" w:styleId="NormalWeb">
    <w:name w:val="Normal (Web)"/>
    <w:basedOn w:val="Normal"/>
    <w:uiPriority w:val="99"/>
    <w:semiHidden/>
    <w:unhideWhenUsed/>
    <w:rsid w:val="006D4C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C81"/>
  </w:style>
  <w:style w:type="paragraph" w:styleId="Footer">
    <w:name w:val="footer"/>
    <w:basedOn w:val="Normal"/>
    <w:link w:val="FooterChar"/>
    <w:uiPriority w:val="99"/>
    <w:unhideWhenUsed/>
    <w:rsid w:val="00DE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C81"/>
  </w:style>
  <w:style w:type="paragraph" w:styleId="BalloonText">
    <w:name w:val="Balloon Text"/>
    <w:basedOn w:val="Normal"/>
    <w:link w:val="BalloonTextChar"/>
    <w:uiPriority w:val="99"/>
    <w:semiHidden/>
    <w:unhideWhenUsed/>
    <w:rsid w:val="00DE6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C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F93"/>
    <w:rPr>
      <w:color w:val="0000FF" w:themeColor="hyperlink"/>
      <w:u w:val="single"/>
    </w:rPr>
  </w:style>
  <w:style w:type="paragraph" w:styleId="NormalWeb">
    <w:name w:val="Normal (Web)"/>
    <w:basedOn w:val="Normal"/>
    <w:uiPriority w:val="99"/>
    <w:semiHidden/>
    <w:unhideWhenUsed/>
    <w:rsid w:val="006D4C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C81"/>
  </w:style>
  <w:style w:type="paragraph" w:styleId="Footer">
    <w:name w:val="footer"/>
    <w:basedOn w:val="Normal"/>
    <w:link w:val="FooterChar"/>
    <w:uiPriority w:val="99"/>
    <w:unhideWhenUsed/>
    <w:rsid w:val="00DE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C81"/>
  </w:style>
  <w:style w:type="paragraph" w:styleId="BalloonText">
    <w:name w:val="Balloon Text"/>
    <w:basedOn w:val="Normal"/>
    <w:link w:val="BalloonTextChar"/>
    <w:uiPriority w:val="99"/>
    <w:semiHidden/>
    <w:unhideWhenUsed/>
    <w:rsid w:val="00DE6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C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625988">
      <w:bodyDiv w:val="1"/>
      <w:marLeft w:val="0"/>
      <w:marRight w:val="0"/>
      <w:marTop w:val="0"/>
      <w:marBottom w:val="0"/>
      <w:divBdr>
        <w:top w:val="none" w:sz="0" w:space="0" w:color="auto"/>
        <w:left w:val="none" w:sz="0" w:space="0" w:color="auto"/>
        <w:bottom w:val="none" w:sz="0" w:space="0" w:color="auto"/>
        <w:right w:val="none" w:sz="0" w:space="0" w:color="auto"/>
      </w:divBdr>
      <w:divsChild>
        <w:div w:id="1566331646">
          <w:marLeft w:val="0"/>
          <w:marRight w:val="0"/>
          <w:marTop w:val="0"/>
          <w:marBottom w:val="0"/>
          <w:divBdr>
            <w:top w:val="none" w:sz="0" w:space="0" w:color="auto"/>
            <w:left w:val="none" w:sz="0" w:space="0" w:color="auto"/>
            <w:bottom w:val="none" w:sz="0" w:space="0" w:color="auto"/>
            <w:right w:val="none" w:sz="0" w:space="0" w:color="auto"/>
          </w:divBdr>
        </w:div>
      </w:divsChild>
    </w:div>
    <w:div w:id="138153745">
      <w:bodyDiv w:val="1"/>
      <w:marLeft w:val="0"/>
      <w:marRight w:val="0"/>
      <w:marTop w:val="0"/>
      <w:marBottom w:val="0"/>
      <w:divBdr>
        <w:top w:val="none" w:sz="0" w:space="0" w:color="auto"/>
        <w:left w:val="none" w:sz="0" w:space="0" w:color="auto"/>
        <w:bottom w:val="none" w:sz="0" w:space="0" w:color="auto"/>
        <w:right w:val="none" w:sz="0" w:space="0" w:color="auto"/>
      </w:divBdr>
      <w:divsChild>
        <w:div w:id="425922291">
          <w:marLeft w:val="0"/>
          <w:marRight w:val="0"/>
          <w:marTop w:val="0"/>
          <w:marBottom w:val="0"/>
          <w:divBdr>
            <w:top w:val="none" w:sz="0" w:space="0" w:color="auto"/>
            <w:left w:val="none" w:sz="0" w:space="0" w:color="auto"/>
            <w:bottom w:val="none" w:sz="0" w:space="0" w:color="auto"/>
            <w:right w:val="none" w:sz="0" w:space="0" w:color="auto"/>
          </w:divBdr>
        </w:div>
      </w:divsChild>
    </w:div>
    <w:div w:id="291399526">
      <w:bodyDiv w:val="1"/>
      <w:marLeft w:val="0"/>
      <w:marRight w:val="0"/>
      <w:marTop w:val="0"/>
      <w:marBottom w:val="0"/>
      <w:divBdr>
        <w:top w:val="none" w:sz="0" w:space="0" w:color="auto"/>
        <w:left w:val="none" w:sz="0" w:space="0" w:color="auto"/>
        <w:bottom w:val="none" w:sz="0" w:space="0" w:color="auto"/>
        <w:right w:val="none" w:sz="0" w:space="0" w:color="auto"/>
      </w:divBdr>
      <w:divsChild>
        <w:div w:id="1990670524">
          <w:marLeft w:val="0"/>
          <w:marRight w:val="0"/>
          <w:marTop w:val="0"/>
          <w:marBottom w:val="0"/>
          <w:divBdr>
            <w:top w:val="none" w:sz="0" w:space="0" w:color="auto"/>
            <w:left w:val="none" w:sz="0" w:space="0" w:color="auto"/>
            <w:bottom w:val="none" w:sz="0" w:space="0" w:color="auto"/>
            <w:right w:val="none" w:sz="0" w:space="0" w:color="auto"/>
          </w:divBdr>
        </w:div>
      </w:divsChild>
    </w:div>
    <w:div w:id="305403494">
      <w:bodyDiv w:val="1"/>
      <w:marLeft w:val="0"/>
      <w:marRight w:val="0"/>
      <w:marTop w:val="0"/>
      <w:marBottom w:val="0"/>
      <w:divBdr>
        <w:top w:val="none" w:sz="0" w:space="0" w:color="auto"/>
        <w:left w:val="none" w:sz="0" w:space="0" w:color="auto"/>
        <w:bottom w:val="none" w:sz="0" w:space="0" w:color="auto"/>
        <w:right w:val="none" w:sz="0" w:space="0" w:color="auto"/>
      </w:divBdr>
      <w:divsChild>
        <w:div w:id="1475559712">
          <w:marLeft w:val="0"/>
          <w:marRight w:val="0"/>
          <w:marTop w:val="0"/>
          <w:marBottom w:val="0"/>
          <w:divBdr>
            <w:top w:val="none" w:sz="0" w:space="0" w:color="auto"/>
            <w:left w:val="none" w:sz="0" w:space="0" w:color="auto"/>
            <w:bottom w:val="none" w:sz="0" w:space="0" w:color="auto"/>
            <w:right w:val="none" w:sz="0" w:space="0" w:color="auto"/>
          </w:divBdr>
        </w:div>
      </w:divsChild>
    </w:div>
    <w:div w:id="326325056">
      <w:bodyDiv w:val="1"/>
      <w:marLeft w:val="0"/>
      <w:marRight w:val="0"/>
      <w:marTop w:val="0"/>
      <w:marBottom w:val="0"/>
      <w:divBdr>
        <w:top w:val="none" w:sz="0" w:space="0" w:color="auto"/>
        <w:left w:val="none" w:sz="0" w:space="0" w:color="auto"/>
        <w:bottom w:val="none" w:sz="0" w:space="0" w:color="auto"/>
        <w:right w:val="none" w:sz="0" w:space="0" w:color="auto"/>
      </w:divBdr>
      <w:divsChild>
        <w:div w:id="1952475798">
          <w:marLeft w:val="0"/>
          <w:marRight w:val="0"/>
          <w:marTop w:val="0"/>
          <w:marBottom w:val="0"/>
          <w:divBdr>
            <w:top w:val="none" w:sz="0" w:space="0" w:color="auto"/>
            <w:left w:val="none" w:sz="0" w:space="0" w:color="auto"/>
            <w:bottom w:val="none" w:sz="0" w:space="0" w:color="auto"/>
            <w:right w:val="none" w:sz="0" w:space="0" w:color="auto"/>
          </w:divBdr>
        </w:div>
      </w:divsChild>
    </w:div>
    <w:div w:id="516501556">
      <w:bodyDiv w:val="1"/>
      <w:marLeft w:val="0"/>
      <w:marRight w:val="0"/>
      <w:marTop w:val="0"/>
      <w:marBottom w:val="0"/>
      <w:divBdr>
        <w:top w:val="none" w:sz="0" w:space="0" w:color="auto"/>
        <w:left w:val="none" w:sz="0" w:space="0" w:color="auto"/>
        <w:bottom w:val="none" w:sz="0" w:space="0" w:color="auto"/>
        <w:right w:val="none" w:sz="0" w:space="0" w:color="auto"/>
      </w:divBdr>
      <w:divsChild>
        <w:div w:id="729231311">
          <w:marLeft w:val="0"/>
          <w:marRight w:val="0"/>
          <w:marTop w:val="0"/>
          <w:marBottom w:val="0"/>
          <w:divBdr>
            <w:top w:val="none" w:sz="0" w:space="0" w:color="auto"/>
            <w:left w:val="none" w:sz="0" w:space="0" w:color="auto"/>
            <w:bottom w:val="none" w:sz="0" w:space="0" w:color="auto"/>
            <w:right w:val="none" w:sz="0" w:space="0" w:color="auto"/>
          </w:divBdr>
        </w:div>
      </w:divsChild>
    </w:div>
    <w:div w:id="1169061519">
      <w:bodyDiv w:val="1"/>
      <w:marLeft w:val="0"/>
      <w:marRight w:val="0"/>
      <w:marTop w:val="0"/>
      <w:marBottom w:val="0"/>
      <w:divBdr>
        <w:top w:val="none" w:sz="0" w:space="0" w:color="auto"/>
        <w:left w:val="none" w:sz="0" w:space="0" w:color="auto"/>
        <w:bottom w:val="none" w:sz="0" w:space="0" w:color="auto"/>
        <w:right w:val="none" w:sz="0" w:space="0" w:color="auto"/>
      </w:divBdr>
      <w:divsChild>
        <w:div w:id="1316956458">
          <w:marLeft w:val="0"/>
          <w:marRight w:val="0"/>
          <w:marTop w:val="0"/>
          <w:marBottom w:val="0"/>
          <w:divBdr>
            <w:top w:val="none" w:sz="0" w:space="0" w:color="auto"/>
            <w:left w:val="none" w:sz="0" w:space="0" w:color="auto"/>
            <w:bottom w:val="none" w:sz="0" w:space="0" w:color="auto"/>
            <w:right w:val="none" w:sz="0" w:space="0" w:color="auto"/>
          </w:divBdr>
        </w:div>
      </w:divsChild>
    </w:div>
    <w:div w:id="1266615143">
      <w:bodyDiv w:val="1"/>
      <w:marLeft w:val="0"/>
      <w:marRight w:val="0"/>
      <w:marTop w:val="0"/>
      <w:marBottom w:val="0"/>
      <w:divBdr>
        <w:top w:val="none" w:sz="0" w:space="0" w:color="auto"/>
        <w:left w:val="none" w:sz="0" w:space="0" w:color="auto"/>
        <w:bottom w:val="none" w:sz="0" w:space="0" w:color="auto"/>
        <w:right w:val="none" w:sz="0" w:space="0" w:color="auto"/>
      </w:divBdr>
      <w:divsChild>
        <w:div w:id="1933078254">
          <w:marLeft w:val="0"/>
          <w:marRight w:val="0"/>
          <w:marTop w:val="0"/>
          <w:marBottom w:val="0"/>
          <w:divBdr>
            <w:top w:val="none" w:sz="0" w:space="0" w:color="auto"/>
            <w:left w:val="none" w:sz="0" w:space="0" w:color="auto"/>
            <w:bottom w:val="none" w:sz="0" w:space="0" w:color="auto"/>
            <w:right w:val="none" w:sz="0" w:space="0" w:color="auto"/>
          </w:divBdr>
        </w:div>
      </w:divsChild>
    </w:div>
    <w:div w:id="1282957959">
      <w:bodyDiv w:val="1"/>
      <w:marLeft w:val="0"/>
      <w:marRight w:val="0"/>
      <w:marTop w:val="0"/>
      <w:marBottom w:val="0"/>
      <w:divBdr>
        <w:top w:val="none" w:sz="0" w:space="0" w:color="auto"/>
        <w:left w:val="none" w:sz="0" w:space="0" w:color="auto"/>
        <w:bottom w:val="none" w:sz="0" w:space="0" w:color="auto"/>
        <w:right w:val="none" w:sz="0" w:space="0" w:color="auto"/>
      </w:divBdr>
      <w:divsChild>
        <w:div w:id="1328679275">
          <w:marLeft w:val="0"/>
          <w:marRight w:val="0"/>
          <w:marTop w:val="0"/>
          <w:marBottom w:val="0"/>
          <w:divBdr>
            <w:top w:val="none" w:sz="0" w:space="0" w:color="auto"/>
            <w:left w:val="none" w:sz="0" w:space="0" w:color="auto"/>
            <w:bottom w:val="none" w:sz="0" w:space="0" w:color="auto"/>
            <w:right w:val="none" w:sz="0" w:space="0" w:color="auto"/>
          </w:divBdr>
        </w:div>
      </w:divsChild>
    </w:div>
    <w:div w:id="1323123343">
      <w:bodyDiv w:val="1"/>
      <w:marLeft w:val="0"/>
      <w:marRight w:val="0"/>
      <w:marTop w:val="0"/>
      <w:marBottom w:val="0"/>
      <w:divBdr>
        <w:top w:val="none" w:sz="0" w:space="0" w:color="auto"/>
        <w:left w:val="none" w:sz="0" w:space="0" w:color="auto"/>
        <w:bottom w:val="none" w:sz="0" w:space="0" w:color="auto"/>
        <w:right w:val="none" w:sz="0" w:space="0" w:color="auto"/>
      </w:divBdr>
      <w:divsChild>
        <w:div w:id="1693022635">
          <w:marLeft w:val="0"/>
          <w:marRight w:val="0"/>
          <w:marTop w:val="0"/>
          <w:marBottom w:val="0"/>
          <w:divBdr>
            <w:top w:val="none" w:sz="0" w:space="0" w:color="auto"/>
            <w:left w:val="none" w:sz="0" w:space="0" w:color="auto"/>
            <w:bottom w:val="none" w:sz="0" w:space="0" w:color="auto"/>
            <w:right w:val="none" w:sz="0" w:space="0" w:color="auto"/>
          </w:divBdr>
        </w:div>
      </w:divsChild>
    </w:div>
    <w:div w:id="1410999061">
      <w:bodyDiv w:val="1"/>
      <w:marLeft w:val="0"/>
      <w:marRight w:val="0"/>
      <w:marTop w:val="0"/>
      <w:marBottom w:val="0"/>
      <w:divBdr>
        <w:top w:val="none" w:sz="0" w:space="0" w:color="auto"/>
        <w:left w:val="none" w:sz="0" w:space="0" w:color="auto"/>
        <w:bottom w:val="none" w:sz="0" w:space="0" w:color="auto"/>
        <w:right w:val="none" w:sz="0" w:space="0" w:color="auto"/>
      </w:divBdr>
      <w:divsChild>
        <w:div w:id="1814591378">
          <w:marLeft w:val="0"/>
          <w:marRight w:val="0"/>
          <w:marTop w:val="0"/>
          <w:marBottom w:val="0"/>
          <w:divBdr>
            <w:top w:val="none" w:sz="0" w:space="0" w:color="auto"/>
            <w:left w:val="none" w:sz="0" w:space="0" w:color="auto"/>
            <w:bottom w:val="none" w:sz="0" w:space="0" w:color="auto"/>
            <w:right w:val="none" w:sz="0" w:space="0" w:color="auto"/>
          </w:divBdr>
        </w:div>
      </w:divsChild>
    </w:div>
    <w:div w:id="1656913478">
      <w:bodyDiv w:val="1"/>
      <w:marLeft w:val="0"/>
      <w:marRight w:val="0"/>
      <w:marTop w:val="0"/>
      <w:marBottom w:val="0"/>
      <w:divBdr>
        <w:top w:val="none" w:sz="0" w:space="0" w:color="auto"/>
        <w:left w:val="none" w:sz="0" w:space="0" w:color="auto"/>
        <w:bottom w:val="none" w:sz="0" w:space="0" w:color="auto"/>
        <w:right w:val="none" w:sz="0" w:space="0" w:color="auto"/>
      </w:divBdr>
      <w:divsChild>
        <w:div w:id="548419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lib.jmu.edu/cgi/viewcontent.cgi?article=1037&amp;context=dnp201019" TargetMode="External"/><Relationship Id="rId13" Type="http://schemas.openxmlformats.org/officeDocument/2006/relationships/hyperlink" Target="https://journals.lww.com/nursing/Fulltext/2017/03000/Preventing_in_patient_falls__The_nurse_s_pivotal.8.aspx" TargetMode="External"/><Relationship Id="rId18" Type="http://schemas.openxmlformats.org/officeDocument/2006/relationships/hyperlink" Target="https://www.inovaideas.org/cgi/viewcontent.cgi?referer=https://scholar.google.com/&amp;httpsredir=1&amp;article=1036&amp;context=nursingresearchsymposium" TargetMode="External"/><Relationship Id="rId26" Type="http://schemas.openxmlformats.org/officeDocument/2006/relationships/hyperlink" Target="http://ijnms.net/index.php/ijnms/article/view/148" TargetMode="External"/><Relationship Id="rId3" Type="http://schemas.openxmlformats.org/officeDocument/2006/relationships/settings" Target="settings.xml"/><Relationship Id="rId21" Type="http://schemas.openxmlformats.org/officeDocument/2006/relationships/hyperlink" Target="https://www.sciencedirect.com/science/article/pii/S1532046415002932" TargetMode="External"/><Relationship Id="rId7" Type="http://schemas.openxmlformats.org/officeDocument/2006/relationships/hyperlink" Target="https://www.sciencedirect.com/science/article/abs/pii/S1553725016300319" TargetMode="External"/><Relationship Id="rId12" Type="http://schemas.openxmlformats.org/officeDocument/2006/relationships/hyperlink" Target="https://www.inovaideas.org/cgi/viewcontent.cgi?referer=https://scholar.google.com/&amp;httpsredir=1&amp;article=1036&amp;context=nursingresearchsymposium" TargetMode="External"/><Relationship Id="rId17" Type="http://schemas.openxmlformats.org/officeDocument/2006/relationships/hyperlink" Target="https://www.ncbi.nlm.nih.gov/books/NBK390630/" TargetMode="External"/><Relationship Id="rId25" Type="http://schemas.openxmlformats.org/officeDocument/2006/relationships/hyperlink" Target="https://scholarworks.waldenu.edu/cgi/viewcontent.cgi?article=8343&amp;context=dissertations"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www.sciencedirect.com/science/article/abs/pii/S0146000519301144" TargetMode="External"/><Relationship Id="rId20" Type="http://schemas.openxmlformats.org/officeDocument/2006/relationships/hyperlink" Target="https://journals.lww.com/nursing/Fulltext/2017/03000/Preventing_in_patient_falls__The_nurse_s_pivotal.8.asp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science/article/pii/S1532046415002932" TargetMode="External"/><Relationship Id="rId24" Type="http://schemas.openxmlformats.org/officeDocument/2006/relationships/hyperlink" Target="https://commons.lib.jmu.edu/cgi/viewcontent.cgi?article=1037&amp;context=dnp20101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healthaffairs.org/doi/full/10.1377/hlthaff.2018.0643" TargetMode="External"/><Relationship Id="rId23" Type="http://schemas.openxmlformats.org/officeDocument/2006/relationships/hyperlink" Target="https://www.sciencedirect.com/science/article/abs/pii/S0146000519301144" TargetMode="External"/><Relationship Id="rId28" Type="http://schemas.openxmlformats.org/officeDocument/2006/relationships/hyperlink" Target="https://www.ingentaconnect.com/content/wk/wad/2017/00000031/00000004/art00005" TargetMode="External"/><Relationship Id="rId10" Type="http://schemas.openxmlformats.org/officeDocument/2006/relationships/hyperlink" Target="https://pilotfeasibilitystudies.biomedcentral.com/articles/10.1186/s40814-015-0043-x" TargetMode="External"/><Relationship Id="rId19" Type="http://schemas.openxmlformats.org/officeDocument/2006/relationships/hyperlink" Target="https://pilotfeasibilitystudies.biomedcentral.com/articles/10.1186/s40814-015-0043-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cholarworks.waldenu.edu/cgi/viewcontent.cgi?article=8343&amp;context=dissertations" TargetMode="External"/><Relationship Id="rId14" Type="http://schemas.openxmlformats.org/officeDocument/2006/relationships/hyperlink" Target="http://ijnms.net/index.php/ijnms/article/view/148" TargetMode="External"/><Relationship Id="rId22" Type="http://schemas.openxmlformats.org/officeDocument/2006/relationships/hyperlink" Target="https://www.healthaffairs.org/doi/full/10.1377/hlthaff.2018.0643" TargetMode="External"/><Relationship Id="rId27" Type="http://schemas.openxmlformats.org/officeDocument/2006/relationships/hyperlink" Target="https://www.ncbi.nlm.nih.gov/books/NBK390630/"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652E0-E491-4714-990A-DA7A9D884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3186</Words>
  <Characters>18163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2020-06-13T09:27:00Z</dcterms:created>
  <dcterms:modified xsi:type="dcterms:W3CDTF">2020-06-13T09:27:00Z</dcterms:modified>
</cp:coreProperties>
</file>